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CB12F" w14:textId="2A5088FD" w:rsidR="00091839" w:rsidRDefault="008F3C5D" w:rsidP="00091839">
      <w:pPr>
        <w:jc w:val="center"/>
        <w:rPr>
          <w:rFonts w:cstheme="minorHAnsi"/>
          <w:b/>
          <w:bCs/>
          <w:color w:val="000000"/>
          <w:sz w:val="24"/>
          <w:szCs w:val="24"/>
        </w:rPr>
      </w:pPr>
      <w:r>
        <w:rPr>
          <w:rFonts w:cstheme="minorHAnsi"/>
          <w:b/>
          <w:bCs/>
          <w:color w:val="000000"/>
          <w:sz w:val="24"/>
          <w:szCs w:val="24"/>
        </w:rPr>
        <w:t xml:space="preserve">April </w:t>
      </w:r>
      <w:r w:rsidR="00764A54">
        <w:rPr>
          <w:rFonts w:cstheme="minorHAnsi"/>
          <w:b/>
          <w:bCs/>
          <w:color w:val="000000"/>
          <w:sz w:val="24"/>
          <w:szCs w:val="24"/>
        </w:rPr>
        <w:t>2019</w:t>
      </w:r>
      <w:r w:rsidR="00895254">
        <w:rPr>
          <w:rFonts w:cstheme="minorHAnsi"/>
          <w:b/>
          <w:bCs/>
          <w:color w:val="000000"/>
          <w:sz w:val="24"/>
          <w:szCs w:val="24"/>
        </w:rPr>
        <w:t xml:space="preserve"> </w:t>
      </w:r>
      <w:r w:rsidR="00091839">
        <w:rPr>
          <w:rFonts w:cstheme="minorHAnsi"/>
          <w:b/>
          <w:bCs/>
          <w:color w:val="000000"/>
          <w:sz w:val="24"/>
          <w:szCs w:val="24"/>
        </w:rPr>
        <w:t>Newsletter</w:t>
      </w:r>
    </w:p>
    <w:p w14:paraId="1E55FF1D" w14:textId="77777777" w:rsidR="00091839" w:rsidRDefault="00091839" w:rsidP="00091839">
      <w:pPr>
        <w:jc w:val="center"/>
        <w:rPr>
          <w:rFonts w:cstheme="minorHAnsi"/>
          <w:b/>
          <w:sz w:val="24"/>
          <w:szCs w:val="24"/>
        </w:rPr>
      </w:pPr>
      <w:r>
        <w:rPr>
          <w:rFonts w:cstheme="minorHAnsi"/>
          <w:b/>
          <w:bCs/>
          <w:color w:val="000000"/>
          <w:sz w:val="24"/>
          <w:szCs w:val="24"/>
        </w:rPr>
        <w:t xml:space="preserve">Prepared by Van Scoyoc Associates  </w:t>
      </w:r>
    </w:p>
    <w:p w14:paraId="57E831A8" w14:textId="77777777" w:rsidR="0031487E" w:rsidRDefault="0031487E" w:rsidP="0031487E">
      <w:pPr>
        <w:rPr>
          <w:rFonts w:eastAsia="Times New Roman" w:cstheme="minorHAnsi"/>
          <w:b/>
          <w:bCs/>
          <w:color w:val="FF0000"/>
        </w:rPr>
      </w:pPr>
    </w:p>
    <w:p w14:paraId="73E4FA5D" w14:textId="77777777" w:rsidR="008F3C5D" w:rsidRDefault="008F3C5D" w:rsidP="008F3C5D">
      <w:pPr>
        <w:pStyle w:val="NoSpacing"/>
        <w:rPr>
          <w:b/>
          <w:color w:val="FF0000"/>
        </w:rPr>
      </w:pPr>
    </w:p>
    <w:p w14:paraId="1029B299" w14:textId="3265AAE9" w:rsidR="008F3C5D" w:rsidRDefault="008F3C5D" w:rsidP="008F3C5D">
      <w:pPr>
        <w:pStyle w:val="NoSpacing"/>
        <w:rPr>
          <w:b/>
          <w:color w:val="FF0000"/>
        </w:rPr>
      </w:pPr>
      <w:r>
        <w:rPr>
          <w:b/>
          <w:color w:val="FF0000"/>
        </w:rPr>
        <w:t xml:space="preserve">CHINA AGREES TO TIGHTEN CURBS ON FENTANYL </w:t>
      </w:r>
    </w:p>
    <w:p w14:paraId="2AB54657" w14:textId="015A807E" w:rsidR="008F3C5D" w:rsidRDefault="008F3C5D" w:rsidP="008F3C5D">
      <w:pPr>
        <w:pStyle w:val="NoSpacing"/>
      </w:pPr>
      <w:r>
        <w:t xml:space="preserve">China announced tightened curbs on the painkiller fentanyl after the U.S. blamed Chinese imports for fueling the opioid crisis. Read more </w:t>
      </w:r>
      <w:hyperlink r:id="rId8" w:history="1">
        <w:r>
          <w:rPr>
            <w:rStyle w:val="Hyperlink"/>
          </w:rPr>
          <w:t>here</w:t>
        </w:r>
      </w:hyperlink>
      <w:r>
        <w:t xml:space="preserve">. </w:t>
      </w:r>
    </w:p>
    <w:p w14:paraId="07583846" w14:textId="77777777" w:rsidR="008F3C5D" w:rsidRDefault="008F3C5D" w:rsidP="008F3C5D">
      <w:pPr>
        <w:pStyle w:val="NoSpacing"/>
      </w:pPr>
    </w:p>
    <w:p w14:paraId="5E737F8A" w14:textId="77777777" w:rsidR="008F3C5D" w:rsidRDefault="008F3C5D" w:rsidP="008F3C5D">
      <w:pPr>
        <w:pStyle w:val="NoSpacing"/>
        <w:rPr>
          <w:rFonts w:ascii="Calibri" w:hAnsi="Calibri" w:cs="Calibri"/>
          <w:b/>
          <w:color w:val="FF0000"/>
        </w:rPr>
      </w:pPr>
      <w:r>
        <w:rPr>
          <w:rFonts w:ascii="Calibri" w:hAnsi="Calibri" w:cs="Calibri"/>
          <w:b/>
          <w:color w:val="FF0000"/>
        </w:rPr>
        <w:t xml:space="preserve">FDA HEARING ON CANNABIS-RELATED PRODUCTS </w:t>
      </w:r>
    </w:p>
    <w:p w14:paraId="0FF0AE1F" w14:textId="77777777" w:rsidR="008F3C5D" w:rsidRDefault="008F3C5D" w:rsidP="008F3C5D">
      <w:pPr>
        <w:pStyle w:val="NoSpacing"/>
        <w:rPr>
          <w:rFonts w:ascii="Calibri" w:hAnsi="Calibri" w:cs="Calibri"/>
        </w:rPr>
      </w:pPr>
      <w:r>
        <w:rPr>
          <w:rFonts w:ascii="Calibri" w:hAnsi="Calibri" w:cs="Calibri"/>
        </w:rPr>
        <w:t xml:space="preserve">The Food and Drug Administration set a public hearing to discuss safety and marketing for cannabis and cannabis-derived products for May 31 from 8 a.m. to 6 p.m. Submit requests to make oral presentations and comments at the public hearing by May 10, 2019. Read more </w:t>
      </w:r>
      <w:hyperlink r:id="rId9" w:history="1">
        <w:r>
          <w:rPr>
            <w:rStyle w:val="Hyperlink"/>
            <w:rFonts w:ascii="Calibri" w:hAnsi="Calibri" w:cs="Calibri"/>
          </w:rPr>
          <w:t>here</w:t>
        </w:r>
      </w:hyperlink>
      <w:r>
        <w:rPr>
          <w:rFonts w:ascii="Calibri" w:hAnsi="Calibri" w:cs="Calibri"/>
        </w:rPr>
        <w:t xml:space="preserve">. </w:t>
      </w:r>
    </w:p>
    <w:p w14:paraId="1F549EB3" w14:textId="77777777" w:rsidR="008F3C5D" w:rsidRDefault="008F3C5D" w:rsidP="008F3C5D">
      <w:pPr>
        <w:pStyle w:val="NoSpacing"/>
      </w:pPr>
    </w:p>
    <w:p w14:paraId="0C58FECA" w14:textId="77777777" w:rsidR="008F3C5D" w:rsidRDefault="008F3C5D" w:rsidP="008F3C5D">
      <w:pPr>
        <w:pStyle w:val="NoSpacing"/>
        <w:rPr>
          <w:b/>
          <w:color w:val="FF0000"/>
        </w:rPr>
      </w:pPr>
      <w:r>
        <w:rPr>
          <w:b/>
          <w:color w:val="FF0000"/>
        </w:rPr>
        <w:t xml:space="preserve">FDA COMMISSIONER STATEMENT ON NEW STEPS TO ADVANCE EVALUATION FOR CANNABIS-CONTAINING AND DERIVED PRODUCTS </w:t>
      </w:r>
    </w:p>
    <w:p w14:paraId="4D3342FB" w14:textId="77777777" w:rsidR="008F3C5D" w:rsidRDefault="008F3C5D" w:rsidP="008F3C5D">
      <w:pPr>
        <w:pStyle w:val="NoSpacing"/>
      </w:pPr>
      <w:r>
        <w:t xml:space="preserve">On April 2, FDA Commissioner Scott Gottlieb made a statement on new steps FDA is taking to advance the agency’s continued evaluation of potential regulatory pathways for cannabis-containing and cannabis-derived products. Read more </w:t>
      </w:r>
      <w:hyperlink r:id="rId10" w:history="1">
        <w:r>
          <w:rPr>
            <w:rStyle w:val="Hyperlink"/>
          </w:rPr>
          <w:t>here</w:t>
        </w:r>
      </w:hyperlink>
      <w:r>
        <w:t xml:space="preserve">. </w:t>
      </w:r>
    </w:p>
    <w:p w14:paraId="429D687B" w14:textId="77777777" w:rsidR="008F3C5D" w:rsidRDefault="008F3C5D" w:rsidP="008F3C5D">
      <w:pPr>
        <w:pStyle w:val="NoSpacing"/>
      </w:pPr>
    </w:p>
    <w:p w14:paraId="2BBE1399" w14:textId="77777777" w:rsidR="008F3C5D" w:rsidRDefault="008F3C5D" w:rsidP="008F3C5D">
      <w:pPr>
        <w:pStyle w:val="NoSpacing"/>
        <w:rPr>
          <w:rFonts w:cstheme="minorHAnsi"/>
          <w:b/>
          <w:color w:val="FF0000"/>
        </w:rPr>
      </w:pPr>
      <w:r>
        <w:rPr>
          <w:rFonts w:cstheme="minorHAnsi"/>
          <w:b/>
          <w:color w:val="FF0000"/>
        </w:rPr>
        <w:t xml:space="preserve">BILL TO AUTHORIZE SANCTIONS ON DRUG MAKERS IN CHINA INTRODUCED </w:t>
      </w:r>
    </w:p>
    <w:p w14:paraId="3602910D" w14:textId="77777777" w:rsidR="008F3C5D" w:rsidRDefault="008F3C5D" w:rsidP="008F3C5D">
      <w:pPr>
        <w:pStyle w:val="NoSpacing"/>
        <w:rPr>
          <w:rFonts w:cstheme="minorHAnsi"/>
        </w:rPr>
      </w:pPr>
      <w:r>
        <w:rPr>
          <w:rFonts w:cstheme="minorHAnsi"/>
        </w:rPr>
        <w:t xml:space="preserve">A bipartisan group of senators including Senate Democratic leader Chuck Schumer introduced a bill that would authorize sanctions on drug makers in China who knowingly provide synthetic opioids to traffickers or groups that bring them into the U.S., as well as financial institutions that help them. Read more </w:t>
      </w:r>
      <w:hyperlink r:id="rId11" w:history="1">
        <w:r>
          <w:rPr>
            <w:rStyle w:val="Hyperlink"/>
            <w:rFonts w:cstheme="minorHAnsi"/>
          </w:rPr>
          <w:t>here</w:t>
        </w:r>
      </w:hyperlink>
      <w:r>
        <w:rPr>
          <w:rFonts w:cstheme="minorHAnsi"/>
        </w:rPr>
        <w:t xml:space="preserve">. </w:t>
      </w:r>
    </w:p>
    <w:p w14:paraId="1B83699B" w14:textId="77777777" w:rsidR="008F3C5D" w:rsidRDefault="008F3C5D" w:rsidP="008F3C5D">
      <w:pPr>
        <w:pStyle w:val="NoSpacing"/>
        <w:rPr>
          <w:rFonts w:cstheme="minorHAnsi"/>
        </w:rPr>
      </w:pPr>
    </w:p>
    <w:p w14:paraId="1B771689" w14:textId="77777777" w:rsidR="008F3C5D" w:rsidRDefault="008F3C5D" w:rsidP="008F3C5D">
      <w:pPr>
        <w:pStyle w:val="NoSpacing"/>
        <w:rPr>
          <w:rFonts w:cstheme="minorHAnsi"/>
          <w:b/>
          <w:color w:val="FF0000"/>
        </w:rPr>
      </w:pPr>
      <w:r>
        <w:rPr>
          <w:rFonts w:cstheme="minorHAnsi"/>
          <w:b/>
          <w:color w:val="FF0000"/>
        </w:rPr>
        <w:t xml:space="preserve">FDA REVAMPS OPIOID LABELING TO ADDRESS TAPERING DOSAGES </w:t>
      </w:r>
    </w:p>
    <w:p w14:paraId="42A8343A" w14:textId="77777777" w:rsidR="008F3C5D" w:rsidRDefault="008F3C5D" w:rsidP="008F3C5D">
      <w:pPr>
        <w:pStyle w:val="NoSpacing"/>
        <w:rPr>
          <w:rFonts w:cstheme="minorHAnsi"/>
        </w:rPr>
      </w:pPr>
      <w:r>
        <w:rPr>
          <w:rFonts w:cstheme="minorHAnsi"/>
        </w:rPr>
        <w:t xml:space="preserve">On April 9, the FDA announced new requirements for opioid labels to help health care providers safely decrease the dose in patients who are physically dependent on the pain medications. Read more </w:t>
      </w:r>
      <w:hyperlink r:id="rId12" w:history="1">
        <w:r>
          <w:rPr>
            <w:rStyle w:val="Hyperlink"/>
            <w:rFonts w:cstheme="minorHAnsi"/>
          </w:rPr>
          <w:t>here</w:t>
        </w:r>
      </w:hyperlink>
      <w:r>
        <w:rPr>
          <w:rFonts w:cstheme="minorHAnsi"/>
        </w:rPr>
        <w:t xml:space="preserve">. </w:t>
      </w:r>
    </w:p>
    <w:p w14:paraId="49E86039" w14:textId="77777777" w:rsidR="008F3C5D" w:rsidRDefault="008F3C5D" w:rsidP="008F3C5D">
      <w:pPr>
        <w:pStyle w:val="NoSpacing"/>
        <w:rPr>
          <w:rFonts w:cstheme="minorHAnsi"/>
        </w:rPr>
      </w:pPr>
    </w:p>
    <w:p w14:paraId="72C04BA9" w14:textId="77777777" w:rsidR="008F3C5D" w:rsidRDefault="008F3C5D" w:rsidP="008F3C5D">
      <w:pPr>
        <w:pStyle w:val="NoSpacing"/>
        <w:rPr>
          <w:rFonts w:cstheme="minorHAnsi"/>
          <w:b/>
          <w:bCs/>
          <w:color w:val="FF0000"/>
        </w:rPr>
      </w:pPr>
      <w:r>
        <w:rPr>
          <w:rFonts w:cstheme="minorHAnsi"/>
          <w:b/>
          <w:bCs/>
          <w:color w:val="FF0000"/>
        </w:rPr>
        <w:t>HOUSE LAWMAKERS UNVEIL BILL TARGETING CHINESE FENTANYL TRAFFICKING</w:t>
      </w:r>
    </w:p>
    <w:p w14:paraId="5623943F" w14:textId="77777777" w:rsidR="008F3C5D" w:rsidRDefault="008F3C5D" w:rsidP="008F3C5D">
      <w:pPr>
        <w:pStyle w:val="NoSpacing"/>
        <w:rPr>
          <w:rFonts w:cstheme="minorHAnsi"/>
        </w:rPr>
      </w:pPr>
      <w:r>
        <w:rPr>
          <w:rFonts w:cstheme="minorHAnsi"/>
        </w:rPr>
        <w:t xml:space="preserve">Reps. Vern Buchanan (R-FL) and Seth Moulton (D-MA) introduced a bill to imposes sanctions on China-based drug manufacturers that knowingly ship synthetic opioids to drug traffickers and authorizes $500 million for law enforcement to combat international opioid trafficking. Read more </w:t>
      </w:r>
      <w:hyperlink r:id="rId13" w:history="1">
        <w:r>
          <w:rPr>
            <w:rStyle w:val="Hyperlink"/>
            <w:rFonts w:cstheme="minorHAnsi"/>
          </w:rPr>
          <w:t>here</w:t>
        </w:r>
      </w:hyperlink>
      <w:r>
        <w:rPr>
          <w:rFonts w:cstheme="minorHAnsi"/>
        </w:rPr>
        <w:t xml:space="preserve">. </w:t>
      </w:r>
    </w:p>
    <w:p w14:paraId="2DFB067C" w14:textId="77777777" w:rsidR="008F3C5D" w:rsidRDefault="008F3C5D" w:rsidP="008F3C5D">
      <w:pPr>
        <w:pStyle w:val="NoSpacing"/>
        <w:rPr>
          <w:rFonts w:cstheme="minorHAnsi"/>
        </w:rPr>
      </w:pPr>
    </w:p>
    <w:p w14:paraId="12349579" w14:textId="77777777" w:rsidR="008F3C5D" w:rsidRDefault="008F3C5D" w:rsidP="008F3C5D">
      <w:pPr>
        <w:pStyle w:val="NoSpacing"/>
        <w:rPr>
          <w:b/>
          <w:color w:val="FF0000"/>
        </w:rPr>
      </w:pPr>
      <w:r>
        <w:rPr>
          <w:b/>
          <w:color w:val="FF0000"/>
        </w:rPr>
        <w:t xml:space="preserve">OPIOIDS AND CANCER TREATMENT </w:t>
      </w:r>
    </w:p>
    <w:p w14:paraId="0656EEF2" w14:textId="77777777" w:rsidR="008F3C5D" w:rsidRDefault="008F3C5D" w:rsidP="008F3C5D">
      <w:pPr>
        <w:pStyle w:val="NoSpacing"/>
        <w:rPr>
          <w:rFonts w:cstheme="minorHAnsi"/>
        </w:rPr>
      </w:pPr>
      <w:r>
        <w:rPr>
          <w:rFonts w:cstheme="minorHAnsi"/>
        </w:rPr>
        <w:t xml:space="preserve">The Centers for Disease Control and Prevention’s 2016 guidelines on opioid prescriptions are not intended to deny clinically appropriate opioid therapy to any patients who suffer acute or chronic pain from conditions such as cancer and sickle cell disease, the agency said in a letter released on April 10. Read more </w:t>
      </w:r>
      <w:hyperlink r:id="rId14" w:history="1">
        <w:r>
          <w:rPr>
            <w:rStyle w:val="Hyperlink"/>
            <w:rFonts w:cstheme="minorHAnsi"/>
          </w:rPr>
          <w:t>here</w:t>
        </w:r>
      </w:hyperlink>
      <w:r>
        <w:rPr>
          <w:rFonts w:cstheme="minorHAnsi"/>
        </w:rPr>
        <w:t xml:space="preserve">. </w:t>
      </w:r>
    </w:p>
    <w:p w14:paraId="50195EEE" w14:textId="77777777" w:rsidR="008F3C5D" w:rsidRDefault="008F3C5D" w:rsidP="008F3C5D">
      <w:pPr>
        <w:pStyle w:val="NoSpacing"/>
        <w:rPr>
          <w:rFonts w:cstheme="minorHAnsi"/>
          <w:b/>
          <w:color w:val="FF0000"/>
        </w:rPr>
      </w:pPr>
    </w:p>
    <w:p w14:paraId="7F577B32" w14:textId="77777777" w:rsidR="008F3C5D" w:rsidRDefault="008F3C5D" w:rsidP="008F3C5D">
      <w:pPr>
        <w:pStyle w:val="NoSpacing"/>
        <w:rPr>
          <w:rFonts w:cstheme="minorHAnsi"/>
          <w:b/>
          <w:color w:val="FF0000"/>
        </w:rPr>
      </w:pPr>
      <w:bookmarkStart w:id="0" w:name="_GoBack"/>
      <w:bookmarkEnd w:id="0"/>
      <w:r>
        <w:rPr>
          <w:rFonts w:cstheme="minorHAnsi"/>
          <w:b/>
          <w:color w:val="FF0000"/>
        </w:rPr>
        <w:t>NIH GRANTS FOR ADDICTION, PREVENTION AWARDED</w:t>
      </w:r>
    </w:p>
    <w:p w14:paraId="5A1E1982" w14:textId="3B8BC7E4" w:rsidR="008F3C5D" w:rsidRDefault="008F3C5D" w:rsidP="008F3C5D">
      <w:pPr>
        <w:pStyle w:val="NoSpacing"/>
        <w:rPr>
          <w:rFonts w:cstheme="minorHAnsi"/>
        </w:rPr>
      </w:pPr>
      <w:r>
        <w:rPr>
          <w:rFonts w:cstheme="minorHAnsi"/>
        </w:rPr>
        <w:t xml:space="preserve">On April 18, HHS awarded $350 million in grants to institutions in Kentucky, Massachusetts, New York and Ohio to fund a pilot program that seeks to integrate addiction prevention and treatment into primary care settings, mental health services and the criminal justice system in targeted communities. Read more </w:t>
      </w:r>
      <w:hyperlink r:id="rId15" w:history="1">
        <w:r>
          <w:rPr>
            <w:rStyle w:val="Hyperlink"/>
            <w:rFonts w:cstheme="minorHAnsi"/>
          </w:rPr>
          <w:t>here</w:t>
        </w:r>
      </w:hyperlink>
      <w:r>
        <w:rPr>
          <w:rFonts w:cstheme="minorHAnsi"/>
        </w:rPr>
        <w:t xml:space="preserve">. </w:t>
      </w:r>
    </w:p>
    <w:p w14:paraId="4FC5833E" w14:textId="77777777" w:rsidR="008F3C5D" w:rsidRDefault="008F3C5D" w:rsidP="008F3C5D">
      <w:pPr>
        <w:pStyle w:val="NoSpacing"/>
        <w:rPr>
          <w:rStyle w:val="Strong"/>
          <w:color w:val="000000"/>
        </w:rPr>
      </w:pPr>
    </w:p>
    <w:p w14:paraId="6748B464" w14:textId="77777777" w:rsidR="008F3C5D" w:rsidRDefault="008F3C5D" w:rsidP="008F3C5D">
      <w:pPr>
        <w:pStyle w:val="NoSpacing"/>
        <w:rPr>
          <w:rStyle w:val="Strong"/>
          <w:rFonts w:cstheme="minorHAnsi"/>
          <w:color w:val="FF0000"/>
        </w:rPr>
      </w:pPr>
      <w:r>
        <w:rPr>
          <w:rStyle w:val="Strong"/>
          <w:rFonts w:cstheme="minorHAnsi"/>
          <w:color w:val="FF0000"/>
        </w:rPr>
        <w:t>GENERIC NALOXONE NASAL SPRAY GETS APPROVAL</w:t>
      </w:r>
    </w:p>
    <w:p w14:paraId="6B3D5C7B" w14:textId="77777777" w:rsidR="008F3C5D" w:rsidRDefault="008F3C5D" w:rsidP="008F3C5D">
      <w:pPr>
        <w:pStyle w:val="NoSpacing"/>
      </w:pPr>
      <w:r>
        <w:rPr>
          <w:rFonts w:cstheme="minorHAnsi"/>
        </w:rPr>
        <w:lastRenderedPageBreak/>
        <w:t xml:space="preserve">On April 19, FDA granted approval to Teva's generic naloxone nasal spray for reversing opioid overdoses, making it the first generic available for use by individuals without medical training. Read more </w:t>
      </w:r>
      <w:hyperlink r:id="rId16" w:history="1">
        <w:r>
          <w:rPr>
            <w:rStyle w:val="Hyperlink"/>
            <w:rFonts w:cstheme="minorHAnsi"/>
          </w:rPr>
          <w:t>here</w:t>
        </w:r>
      </w:hyperlink>
      <w:r>
        <w:rPr>
          <w:rFonts w:cstheme="minorHAnsi"/>
        </w:rPr>
        <w:t xml:space="preserve">. </w:t>
      </w:r>
    </w:p>
    <w:p w14:paraId="2C11DA10" w14:textId="77777777" w:rsidR="008F3C5D" w:rsidRDefault="008F3C5D" w:rsidP="008F3C5D">
      <w:pPr>
        <w:pStyle w:val="NoSpacing"/>
      </w:pPr>
    </w:p>
    <w:p w14:paraId="43E7698F" w14:textId="77777777" w:rsidR="008F3C5D" w:rsidRDefault="008F3C5D" w:rsidP="008F3C5D">
      <w:pPr>
        <w:pStyle w:val="NoSpacing"/>
        <w:rPr>
          <w:b/>
          <w:color w:val="FF0000"/>
        </w:rPr>
      </w:pPr>
      <w:r>
        <w:rPr>
          <w:b/>
          <w:color w:val="FF0000"/>
        </w:rPr>
        <w:t xml:space="preserve">PRESIDENT, FIRST LADY ADDRESS RX DRUG ABUSE &amp; HEROIN SUMMIT </w:t>
      </w:r>
    </w:p>
    <w:p w14:paraId="1FC9734F" w14:textId="6157C679" w:rsidR="008F3C5D" w:rsidRDefault="008F3C5D" w:rsidP="008F3C5D">
      <w:pPr>
        <w:pStyle w:val="NoSpacing"/>
      </w:pPr>
      <w:r>
        <w:t xml:space="preserve">Speaking at the Rx Drug Abuse &amp; Heroin Summit in Atlanta, the president suggested that his policies are working to end the opioid crisis. Read more </w:t>
      </w:r>
      <w:hyperlink r:id="rId17" w:history="1">
        <w:r>
          <w:rPr>
            <w:rStyle w:val="Hyperlink"/>
          </w:rPr>
          <w:t>here</w:t>
        </w:r>
      </w:hyperlink>
      <w:r>
        <w:t xml:space="preserve">. </w:t>
      </w:r>
    </w:p>
    <w:p w14:paraId="0E5967CF" w14:textId="77777777" w:rsidR="008F3C5D" w:rsidRDefault="008F3C5D" w:rsidP="008F3C5D">
      <w:pPr>
        <w:pStyle w:val="NoSpacing"/>
      </w:pPr>
    </w:p>
    <w:p w14:paraId="16F015F7" w14:textId="77777777" w:rsidR="008F3C5D" w:rsidRDefault="008F3C5D" w:rsidP="008F3C5D">
      <w:pPr>
        <w:pStyle w:val="NoSpacing"/>
        <w:rPr>
          <w:b/>
          <w:color w:val="FF0000"/>
        </w:rPr>
      </w:pPr>
      <w:r>
        <w:rPr>
          <w:b/>
          <w:color w:val="FF0000"/>
        </w:rPr>
        <w:t xml:space="preserve">CDC: MISINTERPRETING OPIOID GUIDELINES PUT PATIENTS AT RISK </w:t>
      </w:r>
    </w:p>
    <w:p w14:paraId="13876D30" w14:textId="77777777" w:rsidR="008F3C5D" w:rsidRDefault="008F3C5D" w:rsidP="008F3C5D">
      <w:pPr>
        <w:pStyle w:val="NoSpacing"/>
      </w:pPr>
      <w:r>
        <w:t>In an article published on April 24 in the</w:t>
      </w:r>
      <w:r>
        <w:rPr>
          <w:i/>
          <w:iCs/>
        </w:rPr>
        <w:t xml:space="preserve"> </w:t>
      </w:r>
      <w:r w:rsidRPr="008F3C5D">
        <w:rPr>
          <w:i/>
        </w:rPr>
        <w:t>New England Journal of Medicine</w:t>
      </w:r>
      <w:r>
        <w:t xml:space="preserve">, CDC officials say any misinterpretation of the agency's recommendations for safe opioid prescribing could put people at risk and make it difficult for chronic pain and cancer patients to get their medications. Read more </w:t>
      </w:r>
      <w:hyperlink r:id="rId18" w:history="1">
        <w:r>
          <w:rPr>
            <w:rStyle w:val="Hyperlink"/>
          </w:rPr>
          <w:t>here</w:t>
        </w:r>
      </w:hyperlink>
      <w:r>
        <w:t xml:space="preserve">. </w:t>
      </w:r>
    </w:p>
    <w:p w14:paraId="4D7496B7" w14:textId="77777777" w:rsidR="008F3C5D" w:rsidRDefault="008F3C5D" w:rsidP="008F3C5D">
      <w:pPr>
        <w:pStyle w:val="NoSpacing"/>
      </w:pPr>
    </w:p>
    <w:p w14:paraId="0CC6C0E0" w14:textId="77777777" w:rsidR="008F3C5D" w:rsidRDefault="008F3C5D" w:rsidP="008F3C5D">
      <w:pPr>
        <w:pStyle w:val="NoSpacing"/>
        <w:rPr>
          <w:rFonts w:cstheme="minorHAnsi"/>
          <w:b/>
          <w:color w:val="FF0000"/>
        </w:rPr>
      </w:pPr>
      <w:r>
        <w:rPr>
          <w:rFonts w:cstheme="minorHAnsi"/>
          <w:b/>
          <w:color w:val="FF0000"/>
        </w:rPr>
        <w:t>FDA SCHEDULES MEETING TO GET FEEDBACK ON HIGHER-STRENGTH OPIOIDS</w:t>
      </w:r>
    </w:p>
    <w:p w14:paraId="3FE21569" w14:textId="77777777" w:rsidR="008F3C5D" w:rsidRDefault="008F3C5D" w:rsidP="008F3C5D">
      <w:pPr>
        <w:pStyle w:val="NoSpacing"/>
        <w:rPr>
          <w:rFonts w:cstheme="minorHAnsi"/>
        </w:rPr>
      </w:pPr>
      <w:r>
        <w:rPr>
          <w:rFonts w:cstheme="minorHAnsi"/>
        </w:rPr>
        <w:t xml:space="preserve">The FDA will hold a public meeting on June 11 and 12 to discuss safety concerns raised by the prescribing and use of more powerful opioids. Read more </w:t>
      </w:r>
      <w:hyperlink r:id="rId19" w:history="1">
        <w:r>
          <w:rPr>
            <w:rStyle w:val="Hyperlink"/>
            <w:rFonts w:cstheme="minorHAnsi"/>
          </w:rPr>
          <w:t>here</w:t>
        </w:r>
      </w:hyperlink>
      <w:r>
        <w:rPr>
          <w:rFonts w:cstheme="minorHAnsi"/>
        </w:rPr>
        <w:t xml:space="preserve">.  </w:t>
      </w:r>
    </w:p>
    <w:p w14:paraId="5F5C3449" w14:textId="77777777" w:rsidR="008F3C5D" w:rsidRDefault="008F3C5D" w:rsidP="008F3C5D">
      <w:pPr>
        <w:pStyle w:val="NoSpacing"/>
      </w:pPr>
    </w:p>
    <w:p w14:paraId="6F4EB7DF" w14:textId="77777777" w:rsidR="008F3C5D" w:rsidRDefault="008F3C5D" w:rsidP="008F3C5D">
      <w:pPr>
        <w:pStyle w:val="NoSpacing"/>
        <w:rPr>
          <w:b/>
          <w:bCs/>
          <w:color w:val="FF0000"/>
        </w:rPr>
      </w:pPr>
      <w:r>
        <w:rPr>
          <w:b/>
          <w:bCs/>
          <w:color w:val="FF0000"/>
        </w:rPr>
        <w:t>OPIOID PRICES AND OVERDOSE DEATHS</w:t>
      </w:r>
    </w:p>
    <w:p w14:paraId="39F0E0AC" w14:textId="77777777" w:rsidR="008F3C5D" w:rsidRDefault="008F3C5D" w:rsidP="008F3C5D">
      <w:pPr>
        <w:pStyle w:val="NoSpacing"/>
      </w:pPr>
      <w:r>
        <w:t xml:space="preserve">The gradual decline in the cost of opioids fueled the rise in overdose deaths in the U.S., according to a report released by the White House on April 29. Read more </w:t>
      </w:r>
      <w:hyperlink r:id="rId20" w:history="1">
        <w:r>
          <w:rPr>
            <w:rStyle w:val="Hyperlink"/>
          </w:rPr>
          <w:t>here</w:t>
        </w:r>
      </w:hyperlink>
      <w:r>
        <w:t xml:space="preserve">. </w:t>
      </w:r>
    </w:p>
    <w:p w14:paraId="68E7E74C" w14:textId="77777777" w:rsidR="008F3C5D" w:rsidRDefault="008F3C5D" w:rsidP="008F3C5D">
      <w:pPr>
        <w:pStyle w:val="NoSpacing"/>
      </w:pPr>
    </w:p>
    <w:p w14:paraId="23A12D05" w14:textId="77777777" w:rsidR="008F3C5D" w:rsidRDefault="008F3C5D" w:rsidP="008F3C5D">
      <w:pPr>
        <w:pStyle w:val="NoSpacing"/>
        <w:rPr>
          <w:b/>
          <w:color w:val="FF0000"/>
        </w:rPr>
      </w:pPr>
      <w:r>
        <w:rPr>
          <w:b/>
          <w:color w:val="FF0000"/>
        </w:rPr>
        <w:t>HOUSE LABOR HHS BILL APPROVED BY SUBCOMMITTEE</w:t>
      </w:r>
    </w:p>
    <w:p w14:paraId="7948ED8F" w14:textId="77777777" w:rsidR="008F3C5D" w:rsidRDefault="008F3C5D" w:rsidP="008F3C5D">
      <w:pPr>
        <w:pStyle w:val="NoSpacing"/>
      </w:pPr>
      <w:r>
        <w:t xml:space="preserve">The House Labor, Health and Human Services Appropriations Subcommittee approved their Fiscal 2020 bill on April 30. Read more </w:t>
      </w:r>
      <w:hyperlink r:id="rId21" w:history="1">
        <w:r>
          <w:rPr>
            <w:rStyle w:val="Hyperlink"/>
          </w:rPr>
          <w:t>here</w:t>
        </w:r>
      </w:hyperlink>
      <w:r>
        <w:t xml:space="preserve">. </w:t>
      </w:r>
    </w:p>
    <w:p w14:paraId="20466231" w14:textId="77777777" w:rsidR="0031487E" w:rsidRDefault="0031487E" w:rsidP="0031487E">
      <w:pPr>
        <w:rPr>
          <w:rFonts w:eastAsia="Times New Roman" w:cstheme="minorHAnsi"/>
          <w:b/>
          <w:bCs/>
          <w:color w:val="FF0000"/>
        </w:rPr>
      </w:pPr>
    </w:p>
    <w:sectPr w:rsidR="00314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839"/>
    <w:rsid w:val="000157A3"/>
    <w:rsid w:val="00040C9A"/>
    <w:rsid w:val="00050407"/>
    <w:rsid w:val="0005194B"/>
    <w:rsid w:val="00077788"/>
    <w:rsid w:val="00091839"/>
    <w:rsid w:val="000E2D28"/>
    <w:rsid w:val="00124D4F"/>
    <w:rsid w:val="001B654B"/>
    <w:rsid w:val="001B6B89"/>
    <w:rsid w:val="001B74BF"/>
    <w:rsid w:val="001F468D"/>
    <w:rsid w:val="00211B3B"/>
    <w:rsid w:val="00226925"/>
    <w:rsid w:val="0023534E"/>
    <w:rsid w:val="00285B41"/>
    <w:rsid w:val="002D69F6"/>
    <w:rsid w:val="002E6264"/>
    <w:rsid w:val="00300B7C"/>
    <w:rsid w:val="00304A95"/>
    <w:rsid w:val="0031487E"/>
    <w:rsid w:val="00346E25"/>
    <w:rsid w:val="003477B0"/>
    <w:rsid w:val="00357F3D"/>
    <w:rsid w:val="00367B72"/>
    <w:rsid w:val="003B0819"/>
    <w:rsid w:val="0040425F"/>
    <w:rsid w:val="00431A40"/>
    <w:rsid w:val="00453650"/>
    <w:rsid w:val="0048631C"/>
    <w:rsid w:val="004E4250"/>
    <w:rsid w:val="004F10EA"/>
    <w:rsid w:val="005010D9"/>
    <w:rsid w:val="0062632A"/>
    <w:rsid w:val="00626CF1"/>
    <w:rsid w:val="00632255"/>
    <w:rsid w:val="00652E67"/>
    <w:rsid w:val="00683699"/>
    <w:rsid w:val="00685E8F"/>
    <w:rsid w:val="00740E90"/>
    <w:rsid w:val="00744F6A"/>
    <w:rsid w:val="00764A54"/>
    <w:rsid w:val="00790AF0"/>
    <w:rsid w:val="007E0F8F"/>
    <w:rsid w:val="00815F32"/>
    <w:rsid w:val="00816ACA"/>
    <w:rsid w:val="00867711"/>
    <w:rsid w:val="0087076F"/>
    <w:rsid w:val="008943CF"/>
    <w:rsid w:val="00895254"/>
    <w:rsid w:val="008B050B"/>
    <w:rsid w:val="008F3C5D"/>
    <w:rsid w:val="00930471"/>
    <w:rsid w:val="009A65CF"/>
    <w:rsid w:val="009E4BC0"/>
    <w:rsid w:val="00A262E1"/>
    <w:rsid w:val="00A337BD"/>
    <w:rsid w:val="00A832A0"/>
    <w:rsid w:val="00AE51BB"/>
    <w:rsid w:val="00BC19F9"/>
    <w:rsid w:val="00C1645D"/>
    <w:rsid w:val="00C24C0B"/>
    <w:rsid w:val="00C42F19"/>
    <w:rsid w:val="00CC3542"/>
    <w:rsid w:val="00CC7238"/>
    <w:rsid w:val="00D10CC9"/>
    <w:rsid w:val="00D12F10"/>
    <w:rsid w:val="00D93829"/>
    <w:rsid w:val="00E37C7E"/>
    <w:rsid w:val="00E45BA3"/>
    <w:rsid w:val="00E56E93"/>
    <w:rsid w:val="00E600F2"/>
    <w:rsid w:val="00EA0855"/>
    <w:rsid w:val="00EB64C0"/>
    <w:rsid w:val="00EC6037"/>
    <w:rsid w:val="00F14F2B"/>
    <w:rsid w:val="00F33ECC"/>
    <w:rsid w:val="00F6397A"/>
    <w:rsid w:val="00F71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60D74"/>
  <w15:chartTrackingRefBased/>
  <w15:docId w15:val="{33B97E03-D63E-4E93-8EF2-93549496E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9183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839"/>
    <w:rPr>
      <w:color w:val="0563C1" w:themeColor="hyperlink"/>
      <w:u w:val="single"/>
    </w:rPr>
  </w:style>
  <w:style w:type="paragraph" w:styleId="NoSpacing">
    <w:name w:val="No Spacing"/>
    <w:uiPriority w:val="1"/>
    <w:qFormat/>
    <w:rsid w:val="00091839"/>
    <w:pPr>
      <w:spacing w:after="0" w:line="240" w:lineRule="auto"/>
    </w:pPr>
  </w:style>
  <w:style w:type="character" w:styleId="Strong">
    <w:name w:val="Strong"/>
    <w:basedOn w:val="DefaultParagraphFont"/>
    <w:uiPriority w:val="22"/>
    <w:qFormat/>
    <w:rsid w:val="003477B0"/>
    <w:rPr>
      <w:b/>
      <w:bCs/>
    </w:rPr>
  </w:style>
  <w:style w:type="paragraph" w:styleId="NormalWeb">
    <w:name w:val="Normal (Web)"/>
    <w:basedOn w:val="Normal"/>
    <w:uiPriority w:val="99"/>
    <w:semiHidden/>
    <w:unhideWhenUsed/>
    <w:rsid w:val="00744F6A"/>
    <w:pPr>
      <w:spacing w:before="100" w:beforeAutospacing="1" w:after="100" w:afterAutospacing="1"/>
    </w:pPr>
    <w:rPr>
      <w:rFonts w:ascii="Calibri" w:hAnsi="Calibri" w:cs="Calibri"/>
    </w:rPr>
  </w:style>
  <w:style w:type="character" w:customStyle="1" w:styleId="UnresolvedMention1">
    <w:name w:val="Unresolved Mention1"/>
    <w:basedOn w:val="DefaultParagraphFont"/>
    <w:uiPriority w:val="99"/>
    <w:semiHidden/>
    <w:unhideWhenUsed/>
    <w:rsid w:val="00744F6A"/>
    <w:rPr>
      <w:color w:val="808080"/>
      <w:shd w:val="clear" w:color="auto" w:fill="E6E6E6"/>
    </w:rPr>
  </w:style>
  <w:style w:type="character" w:styleId="Emphasis">
    <w:name w:val="Emphasis"/>
    <w:basedOn w:val="DefaultParagraphFont"/>
    <w:uiPriority w:val="20"/>
    <w:qFormat/>
    <w:rsid w:val="00453650"/>
    <w:rPr>
      <w:i/>
      <w:iCs/>
    </w:rPr>
  </w:style>
  <w:style w:type="character" w:styleId="FollowedHyperlink">
    <w:name w:val="FollowedHyperlink"/>
    <w:basedOn w:val="DefaultParagraphFont"/>
    <w:uiPriority w:val="99"/>
    <w:semiHidden/>
    <w:unhideWhenUsed/>
    <w:rsid w:val="001B74BF"/>
    <w:rPr>
      <w:color w:val="954F72" w:themeColor="followedHyperlink"/>
      <w:u w:val="single"/>
    </w:rPr>
  </w:style>
  <w:style w:type="paragraph" w:styleId="PlainText">
    <w:name w:val="Plain Text"/>
    <w:basedOn w:val="Normal"/>
    <w:link w:val="PlainTextChar"/>
    <w:uiPriority w:val="99"/>
    <w:unhideWhenUsed/>
    <w:rsid w:val="00C42F19"/>
    <w:rPr>
      <w:rFonts w:ascii="Consolas" w:hAnsi="Consolas"/>
      <w:sz w:val="21"/>
      <w:szCs w:val="21"/>
    </w:rPr>
  </w:style>
  <w:style w:type="character" w:customStyle="1" w:styleId="PlainTextChar">
    <w:name w:val="Plain Text Char"/>
    <w:basedOn w:val="DefaultParagraphFont"/>
    <w:link w:val="PlainText"/>
    <w:uiPriority w:val="99"/>
    <w:rsid w:val="00C42F19"/>
    <w:rPr>
      <w:rFonts w:ascii="Consolas" w:hAnsi="Consolas"/>
      <w:sz w:val="21"/>
      <w:szCs w:val="21"/>
    </w:rPr>
  </w:style>
  <w:style w:type="character" w:styleId="UnresolvedMention">
    <w:name w:val="Unresolved Mention"/>
    <w:basedOn w:val="DefaultParagraphFont"/>
    <w:uiPriority w:val="99"/>
    <w:rsid w:val="002D69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39397">
      <w:bodyDiv w:val="1"/>
      <w:marLeft w:val="0"/>
      <w:marRight w:val="0"/>
      <w:marTop w:val="0"/>
      <w:marBottom w:val="0"/>
      <w:divBdr>
        <w:top w:val="none" w:sz="0" w:space="0" w:color="auto"/>
        <w:left w:val="none" w:sz="0" w:space="0" w:color="auto"/>
        <w:bottom w:val="none" w:sz="0" w:space="0" w:color="auto"/>
        <w:right w:val="none" w:sz="0" w:space="0" w:color="auto"/>
      </w:divBdr>
    </w:div>
    <w:div w:id="156849564">
      <w:bodyDiv w:val="1"/>
      <w:marLeft w:val="0"/>
      <w:marRight w:val="0"/>
      <w:marTop w:val="0"/>
      <w:marBottom w:val="0"/>
      <w:divBdr>
        <w:top w:val="none" w:sz="0" w:space="0" w:color="auto"/>
        <w:left w:val="none" w:sz="0" w:space="0" w:color="auto"/>
        <w:bottom w:val="none" w:sz="0" w:space="0" w:color="auto"/>
        <w:right w:val="none" w:sz="0" w:space="0" w:color="auto"/>
      </w:divBdr>
    </w:div>
    <w:div w:id="190844167">
      <w:bodyDiv w:val="1"/>
      <w:marLeft w:val="0"/>
      <w:marRight w:val="0"/>
      <w:marTop w:val="0"/>
      <w:marBottom w:val="0"/>
      <w:divBdr>
        <w:top w:val="none" w:sz="0" w:space="0" w:color="auto"/>
        <w:left w:val="none" w:sz="0" w:space="0" w:color="auto"/>
        <w:bottom w:val="none" w:sz="0" w:space="0" w:color="auto"/>
        <w:right w:val="none" w:sz="0" w:space="0" w:color="auto"/>
      </w:divBdr>
    </w:div>
    <w:div w:id="226571744">
      <w:bodyDiv w:val="1"/>
      <w:marLeft w:val="0"/>
      <w:marRight w:val="0"/>
      <w:marTop w:val="0"/>
      <w:marBottom w:val="0"/>
      <w:divBdr>
        <w:top w:val="none" w:sz="0" w:space="0" w:color="auto"/>
        <w:left w:val="none" w:sz="0" w:space="0" w:color="auto"/>
        <w:bottom w:val="none" w:sz="0" w:space="0" w:color="auto"/>
        <w:right w:val="none" w:sz="0" w:space="0" w:color="auto"/>
      </w:divBdr>
    </w:div>
    <w:div w:id="309604686">
      <w:bodyDiv w:val="1"/>
      <w:marLeft w:val="0"/>
      <w:marRight w:val="0"/>
      <w:marTop w:val="0"/>
      <w:marBottom w:val="0"/>
      <w:divBdr>
        <w:top w:val="none" w:sz="0" w:space="0" w:color="auto"/>
        <w:left w:val="none" w:sz="0" w:space="0" w:color="auto"/>
        <w:bottom w:val="none" w:sz="0" w:space="0" w:color="auto"/>
        <w:right w:val="none" w:sz="0" w:space="0" w:color="auto"/>
      </w:divBdr>
    </w:div>
    <w:div w:id="391654937">
      <w:bodyDiv w:val="1"/>
      <w:marLeft w:val="0"/>
      <w:marRight w:val="0"/>
      <w:marTop w:val="0"/>
      <w:marBottom w:val="0"/>
      <w:divBdr>
        <w:top w:val="none" w:sz="0" w:space="0" w:color="auto"/>
        <w:left w:val="none" w:sz="0" w:space="0" w:color="auto"/>
        <w:bottom w:val="none" w:sz="0" w:space="0" w:color="auto"/>
        <w:right w:val="none" w:sz="0" w:space="0" w:color="auto"/>
      </w:divBdr>
    </w:div>
    <w:div w:id="402262855">
      <w:bodyDiv w:val="1"/>
      <w:marLeft w:val="0"/>
      <w:marRight w:val="0"/>
      <w:marTop w:val="0"/>
      <w:marBottom w:val="0"/>
      <w:divBdr>
        <w:top w:val="none" w:sz="0" w:space="0" w:color="auto"/>
        <w:left w:val="none" w:sz="0" w:space="0" w:color="auto"/>
        <w:bottom w:val="none" w:sz="0" w:space="0" w:color="auto"/>
        <w:right w:val="none" w:sz="0" w:space="0" w:color="auto"/>
      </w:divBdr>
    </w:div>
    <w:div w:id="490683618">
      <w:bodyDiv w:val="1"/>
      <w:marLeft w:val="0"/>
      <w:marRight w:val="0"/>
      <w:marTop w:val="0"/>
      <w:marBottom w:val="0"/>
      <w:divBdr>
        <w:top w:val="none" w:sz="0" w:space="0" w:color="auto"/>
        <w:left w:val="none" w:sz="0" w:space="0" w:color="auto"/>
        <w:bottom w:val="none" w:sz="0" w:space="0" w:color="auto"/>
        <w:right w:val="none" w:sz="0" w:space="0" w:color="auto"/>
      </w:divBdr>
    </w:div>
    <w:div w:id="525607750">
      <w:bodyDiv w:val="1"/>
      <w:marLeft w:val="0"/>
      <w:marRight w:val="0"/>
      <w:marTop w:val="0"/>
      <w:marBottom w:val="0"/>
      <w:divBdr>
        <w:top w:val="none" w:sz="0" w:space="0" w:color="auto"/>
        <w:left w:val="none" w:sz="0" w:space="0" w:color="auto"/>
        <w:bottom w:val="none" w:sz="0" w:space="0" w:color="auto"/>
        <w:right w:val="none" w:sz="0" w:space="0" w:color="auto"/>
      </w:divBdr>
    </w:div>
    <w:div w:id="594554819">
      <w:bodyDiv w:val="1"/>
      <w:marLeft w:val="0"/>
      <w:marRight w:val="0"/>
      <w:marTop w:val="0"/>
      <w:marBottom w:val="0"/>
      <w:divBdr>
        <w:top w:val="none" w:sz="0" w:space="0" w:color="auto"/>
        <w:left w:val="none" w:sz="0" w:space="0" w:color="auto"/>
        <w:bottom w:val="none" w:sz="0" w:space="0" w:color="auto"/>
        <w:right w:val="none" w:sz="0" w:space="0" w:color="auto"/>
      </w:divBdr>
    </w:div>
    <w:div w:id="680402043">
      <w:bodyDiv w:val="1"/>
      <w:marLeft w:val="0"/>
      <w:marRight w:val="0"/>
      <w:marTop w:val="0"/>
      <w:marBottom w:val="0"/>
      <w:divBdr>
        <w:top w:val="none" w:sz="0" w:space="0" w:color="auto"/>
        <w:left w:val="none" w:sz="0" w:space="0" w:color="auto"/>
        <w:bottom w:val="none" w:sz="0" w:space="0" w:color="auto"/>
        <w:right w:val="none" w:sz="0" w:space="0" w:color="auto"/>
      </w:divBdr>
    </w:div>
    <w:div w:id="874275476">
      <w:bodyDiv w:val="1"/>
      <w:marLeft w:val="0"/>
      <w:marRight w:val="0"/>
      <w:marTop w:val="0"/>
      <w:marBottom w:val="0"/>
      <w:divBdr>
        <w:top w:val="none" w:sz="0" w:space="0" w:color="auto"/>
        <w:left w:val="none" w:sz="0" w:space="0" w:color="auto"/>
        <w:bottom w:val="none" w:sz="0" w:space="0" w:color="auto"/>
        <w:right w:val="none" w:sz="0" w:space="0" w:color="auto"/>
      </w:divBdr>
    </w:div>
    <w:div w:id="878200417">
      <w:bodyDiv w:val="1"/>
      <w:marLeft w:val="0"/>
      <w:marRight w:val="0"/>
      <w:marTop w:val="0"/>
      <w:marBottom w:val="0"/>
      <w:divBdr>
        <w:top w:val="none" w:sz="0" w:space="0" w:color="auto"/>
        <w:left w:val="none" w:sz="0" w:space="0" w:color="auto"/>
        <w:bottom w:val="none" w:sz="0" w:space="0" w:color="auto"/>
        <w:right w:val="none" w:sz="0" w:space="0" w:color="auto"/>
      </w:divBdr>
    </w:div>
    <w:div w:id="915240525">
      <w:bodyDiv w:val="1"/>
      <w:marLeft w:val="0"/>
      <w:marRight w:val="0"/>
      <w:marTop w:val="0"/>
      <w:marBottom w:val="0"/>
      <w:divBdr>
        <w:top w:val="none" w:sz="0" w:space="0" w:color="auto"/>
        <w:left w:val="none" w:sz="0" w:space="0" w:color="auto"/>
        <w:bottom w:val="none" w:sz="0" w:space="0" w:color="auto"/>
        <w:right w:val="none" w:sz="0" w:space="0" w:color="auto"/>
      </w:divBdr>
    </w:div>
    <w:div w:id="1146556298">
      <w:bodyDiv w:val="1"/>
      <w:marLeft w:val="0"/>
      <w:marRight w:val="0"/>
      <w:marTop w:val="0"/>
      <w:marBottom w:val="0"/>
      <w:divBdr>
        <w:top w:val="none" w:sz="0" w:space="0" w:color="auto"/>
        <w:left w:val="none" w:sz="0" w:space="0" w:color="auto"/>
        <w:bottom w:val="none" w:sz="0" w:space="0" w:color="auto"/>
        <w:right w:val="none" w:sz="0" w:space="0" w:color="auto"/>
      </w:divBdr>
    </w:div>
    <w:div w:id="1263996790">
      <w:bodyDiv w:val="1"/>
      <w:marLeft w:val="0"/>
      <w:marRight w:val="0"/>
      <w:marTop w:val="0"/>
      <w:marBottom w:val="0"/>
      <w:divBdr>
        <w:top w:val="none" w:sz="0" w:space="0" w:color="auto"/>
        <w:left w:val="none" w:sz="0" w:space="0" w:color="auto"/>
        <w:bottom w:val="none" w:sz="0" w:space="0" w:color="auto"/>
        <w:right w:val="none" w:sz="0" w:space="0" w:color="auto"/>
      </w:divBdr>
    </w:div>
    <w:div w:id="1414400430">
      <w:bodyDiv w:val="1"/>
      <w:marLeft w:val="0"/>
      <w:marRight w:val="0"/>
      <w:marTop w:val="0"/>
      <w:marBottom w:val="0"/>
      <w:divBdr>
        <w:top w:val="none" w:sz="0" w:space="0" w:color="auto"/>
        <w:left w:val="none" w:sz="0" w:space="0" w:color="auto"/>
        <w:bottom w:val="none" w:sz="0" w:space="0" w:color="auto"/>
        <w:right w:val="none" w:sz="0" w:space="0" w:color="auto"/>
      </w:divBdr>
    </w:div>
    <w:div w:id="1482236129">
      <w:bodyDiv w:val="1"/>
      <w:marLeft w:val="0"/>
      <w:marRight w:val="0"/>
      <w:marTop w:val="0"/>
      <w:marBottom w:val="0"/>
      <w:divBdr>
        <w:top w:val="none" w:sz="0" w:space="0" w:color="auto"/>
        <w:left w:val="none" w:sz="0" w:space="0" w:color="auto"/>
        <w:bottom w:val="none" w:sz="0" w:space="0" w:color="auto"/>
        <w:right w:val="none" w:sz="0" w:space="0" w:color="auto"/>
      </w:divBdr>
    </w:div>
    <w:div w:id="1488286006">
      <w:bodyDiv w:val="1"/>
      <w:marLeft w:val="0"/>
      <w:marRight w:val="0"/>
      <w:marTop w:val="0"/>
      <w:marBottom w:val="0"/>
      <w:divBdr>
        <w:top w:val="none" w:sz="0" w:space="0" w:color="auto"/>
        <w:left w:val="none" w:sz="0" w:space="0" w:color="auto"/>
        <w:bottom w:val="none" w:sz="0" w:space="0" w:color="auto"/>
        <w:right w:val="none" w:sz="0" w:space="0" w:color="auto"/>
      </w:divBdr>
    </w:div>
    <w:div w:id="1596858768">
      <w:bodyDiv w:val="1"/>
      <w:marLeft w:val="0"/>
      <w:marRight w:val="0"/>
      <w:marTop w:val="0"/>
      <w:marBottom w:val="0"/>
      <w:divBdr>
        <w:top w:val="none" w:sz="0" w:space="0" w:color="auto"/>
        <w:left w:val="none" w:sz="0" w:space="0" w:color="auto"/>
        <w:bottom w:val="none" w:sz="0" w:space="0" w:color="auto"/>
        <w:right w:val="none" w:sz="0" w:space="0" w:color="auto"/>
      </w:divBdr>
    </w:div>
    <w:div w:id="1680305756">
      <w:bodyDiv w:val="1"/>
      <w:marLeft w:val="0"/>
      <w:marRight w:val="0"/>
      <w:marTop w:val="0"/>
      <w:marBottom w:val="0"/>
      <w:divBdr>
        <w:top w:val="none" w:sz="0" w:space="0" w:color="auto"/>
        <w:left w:val="none" w:sz="0" w:space="0" w:color="auto"/>
        <w:bottom w:val="none" w:sz="0" w:space="0" w:color="auto"/>
        <w:right w:val="none" w:sz="0" w:space="0" w:color="auto"/>
      </w:divBdr>
    </w:div>
    <w:div w:id="1682973815">
      <w:bodyDiv w:val="1"/>
      <w:marLeft w:val="0"/>
      <w:marRight w:val="0"/>
      <w:marTop w:val="0"/>
      <w:marBottom w:val="0"/>
      <w:divBdr>
        <w:top w:val="none" w:sz="0" w:space="0" w:color="auto"/>
        <w:left w:val="none" w:sz="0" w:space="0" w:color="auto"/>
        <w:bottom w:val="none" w:sz="0" w:space="0" w:color="auto"/>
        <w:right w:val="none" w:sz="0" w:space="0" w:color="auto"/>
      </w:divBdr>
    </w:div>
    <w:div w:id="1869173597">
      <w:bodyDiv w:val="1"/>
      <w:marLeft w:val="0"/>
      <w:marRight w:val="0"/>
      <w:marTop w:val="0"/>
      <w:marBottom w:val="0"/>
      <w:divBdr>
        <w:top w:val="none" w:sz="0" w:space="0" w:color="auto"/>
        <w:left w:val="none" w:sz="0" w:space="0" w:color="auto"/>
        <w:bottom w:val="none" w:sz="0" w:space="0" w:color="auto"/>
        <w:right w:val="none" w:sz="0" w:space="0" w:color="auto"/>
      </w:divBdr>
    </w:div>
    <w:div w:id="1881168051">
      <w:bodyDiv w:val="1"/>
      <w:marLeft w:val="0"/>
      <w:marRight w:val="0"/>
      <w:marTop w:val="0"/>
      <w:marBottom w:val="0"/>
      <w:divBdr>
        <w:top w:val="none" w:sz="0" w:space="0" w:color="auto"/>
        <w:left w:val="none" w:sz="0" w:space="0" w:color="auto"/>
        <w:bottom w:val="none" w:sz="0" w:space="0" w:color="auto"/>
        <w:right w:val="none" w:sz="0" w:space="0" w:color="auto"/>
      </w:divBdr>
    </w:div>
    <w:div w:id="1913193790">
      <w:bodyDiv w:val="1"/>
      <w:marLeft w:val="0"/>
      <w:marRight w:val="0"/>
      <w:marTop w:val="0"/>
      <w:marBottom w:val="0"/>
      <w:divBdr>
        <w:top w:val="none" w:sz="0" w:space="0" w:color="auto"/>
        <w:left w:val="none" w:sz="0" w:space="0" w:color="auto"/>
        <w:bottom w:val="none" w:sz="0" w:space="0" w:color="auto"/>
        <w:right w:val="none" w:sz="0" w:space="0" w:color="auto"/>
      </w:divBdr>
    </w:div>
    <w:div w:id="2077126007">
      <w:bodyDiv w:val="1"/>
      <w:marLeft w:val="0"/>
      <w:marRight w:val="0"/>
      <w:marTop w:val="0"/>
      <w:marBottom w:val="0"/>
      <w:divBdr>
        <w:top w:val="none" w:sz="0" w:space="0" w:color="auto"/>
        <w:left w:val="none" w:sz="0" w:space="0" w:color="auto"/>
        <w:bottom w:val="none" w:sz="0" w:space="0" w:color="auto"/>
        <w:right w:val="none" w:sz="0" w:space="0" w:color="auto"/>
      </w:divBdr>
    </w:div>
    <w:div w:id="2082554144">
      <w:bodyDiv w:val="1"/>
      <w:marLeft w:val="0"/>
      <w:marRight w:val="0"/>
      <w:marTop w:val="0"/>
      <w:marBottom w:val="0"/>
      <w:divBdr>
        <w:top w:val="none" w:sz="0" w:space="0" w:color="auto"/>
        <w:left w:val="none" w:sz="0" w:space="0" w:color="auto"/>
        <w:bottom w:val="none" w:sz="0" w:space="0" w:color="auto"/>
        <w:right w:val="none" w:sz="0" w:space="0" w:color="auto"/>
      </w:divBdr>
    </w:div>
    <w:div w:id="208687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mp.com/news/china/diplomacy/article/3004136/china-agrees-tighten-curbs-fentanyl-after-us-calls-action-over" TargetMode="External"/><Relationship Id="rId13" Type="http://schemas.openxmlformats.org/officeDocument/2006/relationships/hyperlink" Target="https://buchanan.house.gov/media-center/press-releases/buchanan-moulton-introduce-bill-combat-chinese-opioids" TargetMode="External"/><Relationship Id="rId18" Type="http://schemas.openxmlformats.org/officeDocument/2006/relationships/hyperlink" Target="https://www.cdc.gov/media/releases/2019/s0424-advises-misapplication-guideline-prescribing-opioids.html" TargetMode="External"/><Relationship Id="rId3" Type="http://schemas.openxmlformats.org/officeDocument/2006/relationships/customXml" Target="../customXml/item3.xml"/><Relationship Id="rId21" Type="http://schemas.openxmlformats.org/officeDocument/2006/relationships/hyperlink" Target="https://appropriations.house.gov/news/press-releases/appropriations-subcommittee-approves-fiscal-year-2020-labor-hhs-education" TargetMode="External"/><Relationship Id="rId7" Type="http://schemas.openxmlformats.org/officeDocument/2006/relationships/webSettings" Target="webSettings.xml"/><Relationship Id="rId12" Type="http://schemas.openxmlformats.org/officeDocument/2006/relationships/hyperlink" Target="https://www.fda.gov/Drugs/DrugSafety/ucm635038.htm" TargetMode="External"/><Relationship Id="rId17" Type="http://schemas.openxmlformats.org/officeDocument/2006/relationships/hyperlink" Target="https://markets.businessinsider.com/news/stocks/president-trump-first-lady-address-rx-drug-abuse-heroin-summit-1028136696" TargetMode="External"/><Relationship Id="rId2" Type="http://schemas.openxmlformats.org/officeDocument/2006/relationships/customXml" Target="../customXml/item2.xml"/><Relationship Id="rId16" Type="http://schemas.openxmlformats.org/officeDocument/2006/relationships/hyperlink" Target="https://www.fda.gov/NewsEvents/Newsroom/PressAnnouncements/ucm636333.htm" TargetMode="External"/><Relationship Id="rId20" Type="http://schemas.openxmlformats.org/officeDocument/2006/relationships/hyperlink" Target="https://www.whitehouse.gov/wp-content/uploads/2019/04/The-Role-of-Opioid-Prices-in-the-Evolving-Opioid-Crisi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humer.senate.gov/newsroom/press-releases/schumer-reveals-chinese-traffickers-opioid-assembly-line-relies-on-jfks-mail-processing-facility-and-usps-to-keep-rolling-illicit-drugs-that-escape-detection-at-jfk-end-up-on-the-streets-of-nyc_li-senator-pushes-new--needed-fed-funds-to-add-detectors-other-protections-at-jfk-that-put-a-wrench-in-chinas-supply-chain--complement-new-sanctions" TargetMode="External"/><Relationship Id="rId5" Type="http://schemas.openxmlformats.org/officeDocument/2006/relationships/styles" Target="styles.xml"/><Relationship Id="rId15" Type="http://schemas.openxmlformats.org/officeDocument/2006/relationships/hyperlink" Target="https://www.nih.gov/news-events/news-releases/nih-funds-study-four-states-reduce-opioid-related-deaths-40-percent-over-three-years" TargetMode="External"/><Relationship Id="rId23" Type="http://schemas.openxmlformats.org/officeDocument/2006/relationships/theme" Target="theme/theme1.xml"/><Relationship Id="rId10" Type="http://schemas.openxmlformats.org/officeDocument/2006/relationships/hyperlink" Target="https://www.fda.gov/NewsEvents/Newsroom/PressAnnouncements/ucm635048.htm?utm_campaign=040219_Statement_FDA%20announces%20new%20steps%20on%20cannabis-related%20products&amp;utm_medium=email&amp;utm_source=Eloqua" TargetMode="External"/><Relationship Id="rId19" Type="http://schemas.openxmlformats.org/officeDocument/2006/relationships/hyperlink" Target="https://www.fda.gov/news-events/fda-brief/fda-brief-fda-announces-public-meeting-discuss-safety-and-utility-higher-dose-opioid-analgesics" TargetMode="External"/><Relationship Id="rId4" Type="http://schemas.openxmlformats.org/officeDocument/2006/relationships/customXml" Target="../customXml/item4.xml"/><Relationship Id="rId9" Type="http://schemas.openxmlformats.org/officeDocument/2006/relationships/hyperlink" Target="https://s3.amazonaws.com/public-inspection.federalregister.gov/2019-06436.pdf" TargetMode="External"/><Relationship Id="rId14" Type="http://schemas.openxmlformats.org/officeDocument/2006/relationships/hyperlink" Target="https://www.nccn.org/professionals/meetings/oncology_policy_program/pdf/2019_CDC_letter_to_NCCN_ASCO_ASH.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ddd8fad-e00f-493d-b8e9-6649c59383b2">34Q2YCS63N4U-1-35103</_dlc_DocId>
    <_dlc_DocIdUrl xmlns="dddd8fad-e00f-493d-b8e9-6649c59383b2">
      <Url>https://vsadc.sharepoint.com/teams/Long/_layouts/15/DocIdRedir.aspx?ID=34Q2YCS63N4U-1-35103</Url>
      <Description>34Q2YCS63N4U-1-35103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54DAE1FC65BE4FB2F74CE93000395C" ma:contentTypeVersion="6" ma:contentTypeDescription="Create a new document." ma:contentTypeScope="" ma:versionID="77035bd70f39786e2eaee0203ca5e061">
  <xsd:schema xmlns:xsd="http://www.w3.org/2001/XMLSchema" xmlns:xs="http://www.w3.org/2001/XMLSchema" xmlns:p="http://schemas.microsoft.com/office/2006/metadata/properties" xmlns:ns2="dddd8fad-e00f-493d-b8e9-6649c59383b2" xmlns:ns3="faf4c1e0-4d67-4185-abc3-fe4132f46c0f" targetNamespace="http://schemas.microsoft.com/office/2006/metadata/properties" ma:root="true" ma:fieldsID="f8ac1ee4f0157e97464243c58d1dcac5" ns2:_="" ns3:_="">
    <xsd:import namespace="dddd8fad-e00f-493d-b8e9-6649c59383b2"/>
    <xsd:import namespace="faf4c1e0-4d67-4185-abc3-fe4132f46c0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d8fad-e00f-493d-b8e9-6649c59383b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f4c1e0-4d67-4185-abc3-fe4132f46c0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BB3EAF-E842-4402-B7A2-AA1DDF601E82}">
  <ds:schemaRefs>
    <ds:schemaRef ds:uri="http://schemas.microsoft.com/sharepoint/events"/>
  </ds:schemaRefs>
</ds:datastoreItem>
</file>

<file path=customXml/itemProps2.xml><?xml version="1.0" encoding="utf-8"?>
<ds:datastoreItem xmlns:ds="http://schemas.openxmlformats.org/officeDocument/2006/customXml" ds:itemID="{68A25874-435C-4B05-B851-64E27145307E}">
  <ds:schemaRefs>
    <ds:schemaRef ds:uri="http://schemas.microsoft.com/sharepoint/v3/contenttype/forms"/>
  </ds:schemaRefs>
</ds:datastoreItem>
</file>

<file path=customXml/itemProps3.xml><?xml version="1.0" encoding="utf-8"?>
<ds:datastoreItem xmlns:ds="http://schemas.openxmlformats.org/officeDocument/2006/customXml" ds:itemID="{7E7686F6-71D7-48BC-A0D9-13185A236DD6}">
  <ds:schemaRefs>
    <ds:schemaRef ds:uri="http://schemas.microsoft.com/office/2006/metadata/properties"/>
    <ds:schemaRef ds:uri="http://schemas.microsoft.com/office/infopath/2007/PartnerControls"/>
    <ds:schemaRef ds:uri="dddd8fad-e00f-493d-b8e9-6649c59383b2"/>
  </ds:schemaRefs>
</ds:datastoreItem>
</file>

<file path=customXml/itemProps4.xml><?xml version="1.0" encoding="utf-8"?>
<ds:datastoreItem xmlns:ds="http://schemas.openxmlformats.org/officeDocument/2006/customXml" ds:itemID="{75431B46-E458-4B49-89D8-19B7CF4DF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d8fad-e00f-493d-b8e9-6649c59383b2"/>
    <ds:schemaRef ds:uri="faf4c1e0-4d67-4185-abc3-fe4132f46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Vanlandingham, Katie</dc:creator>
  <cp:keywords/>
  <dc:description/>
  <cp:lastModifiedBy>Comer, Sandra D.</cp:lastModifiedBy>
  <cp:revision>4</cp:revision>
  <dcterms:created xsi:type="dcterms:W3CDTF">2019-05-01T18:09:00Z</dcterms:created>
  <dcterms:modified xsi:type="dcterms:W3CDTF">2019-05-09T02:24:00Z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0x010100F254DAE1FC65BE4FB2F74CE93000395C</vt:lpwstr>
  </property>
  <property fmtid="{D5CDD505-2E9C-101B-9397-08002B2CF9AE}" pid="3" name="_dlc_DocIdItemGuid">
    <vt:lpwstr>51e0cbaa-dbe8-406d-99a0-7ce1ad4ce590</vt:lpwstr>
  </property>
</Properties>
</file>